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b/>
          <w:bCs/>
          <w:sz w:val="48"/>
          <w:szCs w:val="48"/>
        </w:rPr>
      </w:pPr>
      <w:bookmarkStart w:id="0" w:name="OLE_LINK1"/>
      <w:r>
        <w:rPr>
          <w:rFonts w:ascii="Arial" w:hAnsi="Arial" w:cs="Arial" w:eastAsiaTheme="minorEastAsia"/>
          <w:b/>
          <w:bCs/>
          <w:color w:val="333333"/>
          <w:kern w:val="0"/>
          <w:sz w:val="48"/>
          <w:szCs w:val="48"/>
          <w:lang w:val="en-US" w:eastAsia="zh-CN" w:bidi="ar"/>
        </w:rPr>
        <w:t>关于举办无菌检验员培训班的通知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各会员单位：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为帮助企业无菌检验人员提高检验能力和规范操作方法，使其具有相关理论知识和实际操作技能，商会于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2016年7月27日-29日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举办无菌检验员培训班。此次培训以理论教学和实验操作相结合，着重培养学员的操作能力，具体通知如下：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一、培训对象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医疗器械生产企业从事无菌检验工作的相关人员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二、招生限额  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     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0人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三、培训内容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无菌检验理论知识与实践操作 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微生物基础知识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消毒和灭菌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3、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实验室常见的微生物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4、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无菌检测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5、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产品初始污染菌的检测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6、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药典微生物限度和控制菌的检测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66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7、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内毒素的检测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四、培训时间及地点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i w:val="0"/>
          <w:iCs w:val="0"/>
        </w:rPr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    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培训时间：</w:t>
      </w:r>
      <w:r>
        <w:rPr>
          <w:rFonts w:hint="eastAsia" w:ascii="Arial" w:hAnsi="Arial" w:cs="Arial"/>
          <w:b/>
          <w:bCs/>
          <w:i w:val="0"/>
          <w:iCs w:val="0"/>
          <w:color w:val="FF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201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年7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月27-29日，共三天。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培训地点：江苏省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苏州市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吴江区汾湖大道558号4号楼（苏州熠品质量技术服务有限公司）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五、报名方式及费用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2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联 系 人：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廉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女士（1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8538186621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）    夏女士（13613817008）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2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联系电话：0371-86568081/86568210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2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E-mail:shanghuipeixun@163.com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培训费：会员单位1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00元/人（含资料文具、证书、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午餐、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实习费），非会员单位2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00元/人（含资料文具、证书、</w:t>
      </w: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>午餐、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实习费））；培训期间食宿费用自理，会务组可统一安排。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  交费方式：现金或银行汇款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             名  称：</w:t>
      </w:r>
      <w:r>
        <w:rPr>
          <w:rFonts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 户    名：河南省医疗器械商会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            开 户 行：中国工商银行郑州二七支行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            账    号：1702028109200258571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</w:pPr>
      <w:r>
        <w:rPr>
          <w:rFonts w:hint="eastAsia" w:ascii="Arial" w:hAnsi="Arial" w:cs="Arial"/>
          <w:color w:val="333333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      汇款请注明“检验培训”字样。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  六、其它事项：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1、参加培训人员必须携带身份证。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  <w:t xml:space="preserve">2、学员有身体不适，或特殊情况者请自备药品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49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righ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righ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righ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right"/>
        <w:textAlignment w:val="auto"/>
        <w:outlineLvl w:val="9"/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河南省医疗器械商会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right"/>
        <w:textAlignment w:val="auto"/>
        <w:outlineLvl w:val="9"/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二O一</w:t>
      </w:r>
      <w:r>
        <w:rPr>
          <w:rFonts w:hint="eastAsia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六</w:t>
      </w: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七</w:t>
      </w: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Arial" w:hAnsi="Arial" w:cs="Arial"/>
          <w:b/>
          <w:bCs/>
          <w:color w:val="333333"/>
          <w:kern w:val="0"/>
          <w:sz w:val="24"/>
          <w:szCs w:val="24"/>
          <w:lang w:val="en-US" w:eastAsia="zh-CN" w:bidi="ar"/>
        </w:rPr>
        <w:t>十</w:t>
      </w:r>
      <w:bookmarkStart w:id="1" w:name="_GoBack"/>
      <w:bookmarkEnd w:id="1"/>
      <w:r>
        <w:rPr>
          <w:rFonts w:hint="eastAsia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>四</w:t>
      </w:r>
      <w:r>
        <w:rPr>
          <w:rFonts w:hint="default" w:ascii="Arial" w:hAnsi="Arial" w:cs="Arial" w:eastAsiaTheme="minorEastAsia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日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righ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right"/>
        <w:textAlignment w:val="auto"/>
        <w:outlineLvl w:val="9"/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</w:pPr>
    </w:p>
    <w:tbl>
      <w:tblPr>
        <w:tblStyle w:val="6"/>
        <w:tblpPr w:leftFromText="180" w:rightFromText="180" w:vertAnchor="page" w:horzAnchor="page" w:tblpX="1732" w:tblpY="2111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8"/>
            <w:vAlign w:val="top"/>
          </w:tcPr>
          <w:p>
            <w:pPr>
              <w:spacing w:line="420" w:lineRule="exact"/>
              <w:ind w:right="-3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发票抬头</w:t>
            </w:r>
          </w:p>
        </w:tc>
        <w:tc>
          <w:tcPr>
            <w:tcW w:w="4506" w:type="dxa"/>
            <w:gridSpan w:val="5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电话及手机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邮寄地址</w:t>
            </w:r>
          </w:p>
        </w:tc>
        <w:tc>
          <w:tcPr>
            <w:tcW w:w="4506" w:type="dxa"/>
            <w:gridSpan w:val="5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0" w:lineRule="exact"/>
              <w:ind w:right="-330"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1801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会员单位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ind w:right="-3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附件：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instrText xml:space="preserve"> HYPERLINK "http://www.hnylqxsh.com/static/uploads/attached/file/20150707/20150707155647_87357.doc" \t "http://www.hnylqxsh.com/news/show/id/_blank" </w:instrTex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>报名表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0240"/>
    <w:rsid w:val="053039AD"/>
    <w:rsid w:val="0B87343A"/>
    <w:rsid w:val="15114848"/>
    <w:rsid w:val="15957D04"/>
    <w:rsid w:val="21141C70"/>
    <w:rsid w:val="219E2F31"/>
    <w:rsid w:val="2B840A9D"/>
    <w:rsid w:val="2C2F1E29"/>
    <w:rsid w:val="33B71264"/>
    <w:rsid w:val="368B6DE2"/>
    <w:rsid w:val="428062B9"/>
    <w:rsid w:val="46C45BA7"/>
    <w:rsid w:val="477C56F4"/>
    <w:rsid w:val="53125265"/>
    <w:rsid w:val="5A94064D"/>
    <w:rsid w:val="5B612D10"/>
    <w:rsid w:val="5BDC021A"/>
    <w:rsid w:val="5FB36CF6"/>
    <w:rsid w:val="620B5E08"/>
    <w:rsid w:val="6A6D5EC4"/>
    <w:rsid w:val="6A917F8A"/>
    <w:rsid w:val="6B0126A9"/>
    <w:rsid w:val="6E461BE0"/>
    <w:rsid w:val="708F6813"/>
    <w:rsid w:val="7558354B"/>
    <w:rsid w:val="788947F8"/>
    <w:rsid w:val="7CA332AE"/>
    <w:rsid w:val="7E221A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first"/>
    <w:basedOn w:val="3"/>
    <w:qFormat/>
    <w:uiPriority w:val="0"/>
    <w:rPr>
      <w:shd w:val="clear" w:fill="1E91A6"/>
    </w:rPr>
  </w:style>
  <w:style w:type="character" w:customStyle="1" w:styleId="8">
    <w:name w:val="first1"/>
    <w:basedOn w:val="3"/>
    <w:qFormat/>
    <w:uiPriority w:val="0"/>
    <w:rPr>
      <w:shd w:val="clear" w:fill="1E91A6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2016-07-14T02:26:03Z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